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26-126</w:t>
      </w:r>
    </w:p>
    <w:p>
      <w:pPr>
        <w:spacing w:before="0" w:after="0" w:line="480"/>
        <w:ind w:left="120"/>
        <w:jc w:val="left"/>
      </w:pPr>
    </w:p>
    <w:p>
      <w:pPr>
        <w:spacing w:before="0" w:after="0" w:line="480"/>
        <w:ind w:left="120"/>
        <w:jc w:val="center"/>
      </w:pPr>
      <w:r>
        <w:rPr>
          <w:rFonts w:ascii="Times New Roman" w:hAnsi="Times New Roman"/>
          <w:b/>
          <w:i w:val="false"/>
          <w:color w:val="000000"/>
          <w:sz w:val="28"/>
        </w:rPr>
        <w:t>LAW ENFORCEMENT ACADEMY[501]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501—Chapter 4</w:t>
      </w:r>
    </w:p>
    <w:p>
      <w:pPr>
        <w:spacing w:before="0" w:after="0" w:line="480"/>
        <w:ind w:left="120"/>
        <w:jc w:val="center"/>
      </w:pPr>
      <w:r>
        <w:rPr>
          <w:rFonts w:ascii="Times New Roman" w:hAnsi="Times New Roman"/>
          <w:b w:val="false"/>
          <w:i w:val="false"/>
          <w:color w:val="000000"/>
          <w:sz w:val="24"/>
        </w:rPr>
        <w:t>“Professional Development”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80B, and 80D</w:t>
      </w:r>
    </w:p>
    <w:p>
      <w:pPr>
        <w:spacing w:before="0" w:after="0" w:line="480"/>
        <w:ind w:left="120"/>
        <w:jc w:val="both"/>
      </w:pPr>
      <w:r>
        <w:rPr>
          <w:rFonts w:ascii="Times New Roman" w:hAnsi="Times New Roman"/>
          <w:b w:val="false"/>
          <w:i w:val="false"/>
          <w:color w:val="000000"/>
          <w:sz w:val="24"/>
        </w:rPr>
        <w:t>State or federal law(s) implemented by the rulemaking: Iowa Code chapters 80B and 80D</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 person: 7105 NW 70th Avenue</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Johnston, Iowa</w:t>
            </w:r>
            <w:r>
              <w:br/>
            </w:r>
            <w:r>
              <w:rPr>
                <w:rFonts w:ascii="Times New Roman" w:hAnsi="Times New Roman"/>
                <w:b w:val="false"/>
                <w:i w:val="false"/>
                <w:color w:val="000000"/>
                <w:sz w:val="14"/>
              </w:rPr>
              <w:t xml:space="preserve">Online: </w:t>
            </w:r>
            <w:hyperlink r:id="rId4">
              <w:r>
                <w:rPr>
                  <w:rStyle w:val="Hyperlink"/>
                  <w:rFonts w:ascii="Times New Roman" w:hAnsi="Times New Roman"/>
                  <w:b w:val="false"/>
                  <w:i w:val="false"/>
                  <w:color w:val="0000ff"/>
                  <w:sz w:val="14"/>
                </w:rPr>
                <w:t>us06web.zoom.us/j/88403237275</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Law Enforcement Academy no later than 4:30 p.m. on July 14, 2026.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Kristi Traynor</w:t>
            </w:r>
            <w:r>
              <w:br/>
            </w:r>
            <w:r>
              <w:rPr>
                <w:rFonts w:ascii="Times New Roman" w:hAnsi="Times New Roman"/>
                <w:b w:val="false"/>
                <w:i w:val="false"/>
                <w:color w:val="000000"/>
                <w:sz w:val="14"/>
              </w:rPr>
              <w:t>Iowa Law Enforcement Academy</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Johnston, Iowa 50131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4 describes the professional development that all employed law enforcement officers and reserve officers must complete each year and the documentation requirements for their records. As a part of the Red Tape Review required by Executive Order 10, this chapter was reviewed and revised.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This proposed rulemaking will benefit law enforcement officers and reserve officers by clearly defining the professional development to be completed each year and the records officers need to maintain documenting their professional development.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Iowa’s law enforcement officers and reserve officers will benefit from updated professional development requirements designed to comply with statutory requirements and current law enforcement standards.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public will benefit from law enforcement officers and reserve officers who have access to ongoing professional development on statutorily mandated topics and current law enforcement standards.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Law enforcement officers and reserve officers, or their agencies, will continue to bear the costs of ongoing professional development, as they historically have borne this cost.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This proposed rulemaking has no anticipated impact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proposed rulemaking streamlines Chapter 4 and eliminates outdated or statutorily revised mandates.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has been streamlined, clarified, and made less restrictive where possible in accordance with the goals and directives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This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w:t>
      </w:r>
    </w:p>
    <w:p>
      <w:pPr>
        <w:spacing w:before="0" w:after="0" w:line="480"/>
        <w:ind w:left="120"/>
        <w:jc w:val="center"/>
      </w:pPr>
      <w:r>
        <w:rPr>
          <w:rFonts w:ascii="Times New Roman" w:hAnsi="Times New Roman"/>
          <w:b w:val="false"/>
          <w:i w:val="false"/>
          <w:color w:val="000000"/>
          <w:sz w:val="21"/>
        </w:rPr>
        <w:t>PROFESSIONAL DEVELOPMENT</w:t>
      </w:r>
    </w:p>
    <w:p>
      <w:pPr>
        <w:spacing w:before="0" w:after="0" w:line="480"/>
        <w:ind w:left="120"/>
        <w:jc w:val="both"/>
      </w:pPr>
      <w:r>
        <w:rPr>
          <w:rFonts w:ascii="Times New Roman" w:hAnsi="Times New Roman"/>
          <w:b/>
          <w:i w:val="false"/>
          <w:color w:val="000000"/>
          <w:sz w:val="24"/>
        </w:rPr>
        <w:t>501—4.1</w:t>
      </w:r>
      <w:r>
        <w:rPr>
          <w:rFonts w:ascii="Times New Roman" w:hAnsi="Times New Roman"/>
          <w:b/>
          <w:i w:val="false"/>
          <w:color w:val="000000"/>
          <w:sz w:val="24"/>
        </w:rPr>
        <w:t xml:space="preserve">(80B,80D) </w:t>
      </w:r>
      <w:r>
        <w:rPr>
          <w:rFonts w:ascii="Times New Roman" w:hAnsi="Times New Roman"/>
          <w:b/>
          <w:i w:val="false"/>
          <w:color w:val="000000"/>
          <w:sz w:val="24"/>
        </w:rPr>
        <w:t xml:space="preserve">Professional development requirements. </w:t>
      </w:r>
      <w:r>
        <w:rPr>
          <w:rFonts w:ascii="Times New Roman" w:hAnsi="Times New Roman"/>
          <w:b w:val="false"/>
          <w:i w:val="false"/>
          <w:color w:val="000000"/>
          <w:sz w:val="24"/>
        </w:rPr>
        <w:t xml:space="preserve">The agency administrator will ensure compliance with professional development requirements for all agency officers. All employed law enforcement and reserve officers will comply with the following professional development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4.1(1)</w:t>
      </w:r>
      <w:r>
        <w:rPr>
          <w:rFonts w:ascii="Times New Roman" w:hAnsi="Times New Roman"/>
          <w:b w:val="false"/>
          <w:i w:val="false"/>
          <w:color w:val="000000"/>
          <w:sz w:val="24"/>
        </w:rPr>
        <w:t> </w:t>
      </w:r>
      <w:r>
        <w:rPr>
          <w:rFonts w:ascii="Times New Roman" w:hAnsi="Times New Roman"/>
          <w:b w:val="false"/>
          <w:i/>
          <w:color w:val="000000"/>
          <w:sz w:val="24"/>
        </w:rPr>
        <w:t xml:space="preserve">Mandatory annual professional development and certification requirements. </w:t>
      </w:r>
      <w:r>
        <w:rPr>
          <w:rFonts w:ascii="Times New Roman" w:hAnsi="Times New Roman"/>
          <w:b w:val="false"/>
          <w:i w:val="false"/>
          <w:color w:val="000000"/>
          <w:sz w:val="24"/>
        </w:rPr>
        <w:t>Annual courses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Two firearms training sessions with passing qualifications, to include one daylight qualification and one low-light qualification, on the academy-approved courses of fire for issued or authorized duty weapon(s), both of which are conducted by another officer having a firearms instructor endorsement.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Qualifications and any remediation will be conducted consistent with the academy course of fire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Handgun qualification on an academy-approved course of fire must be completed when an officer has a change of issued or authorized duty weapon prior to carrying the handgun while on duty.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This subrule does not apply to reserve officers who are not authorized to carry a firearm.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Decision making.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De-escalation/communication with people in crisis.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Mental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Hate crimes.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Human trafficking.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Officer resiliency and wellness.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w:t>
      </w:r>
      <w:r>
        <w:rPr>
          <w:rFonts w:ascii="Times New Roman" w:hAnsi="Times New Roman"/>
          <w:b w:val="false"/>
          <w:i w:val="false"/>
          <w:color w:val="000000"/>
          <w:sz w:val="24"/>
        </w:rPr>
        <w:t> </w:t>
      </w:r>
      <w:r>
        <w:rPr>
          <w:rFonts w:ascii="Times New Roman" w:hAnsi="Times New Roman"/>
          <w:b w:val="false"/>
          <w:i/>
          <w:color w:val="000000"/>
          <w:sz w:val="24"/>
        </w:rPr>
        <w:t xml:space="preserve">Mandatory annual general professional development. </w:t>
      </w:r>
      <w:r>
        <w:rPr>
          <w:rFonts w:ascii="Times New Roman" w:hAnsi="Times New Roman"/>
          <w:b w:val="false"/>
          <w:i w:val="false"/>
          <w:color w:val="000000"/>
          <w:sz w:val="24"/>
        </w:rPr>
        <w:t>A minimum of 12 additional hours of law enforcement-related professional development approved by the employing agency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4.1(3)</w:t>
      </w:r>
      <w:r>
        <w:rPr>
          <w:rFonts w:ascii="Times New Roman" w:hAnsi="Times New Roman"/>
          <w:b w:val="false"/>
          <w:i w:val="false"/>
          <w:color w:val="000000"/>
          <w:sz w:val="24"/>
        </w:rPr>
        <w:t> </w:t>
      </w:r>
      <w:r>
        <w:rPr>
          <w:rFonts w:ascii="Times New Roman" w:hAnsi="Times New Roman"/>
          <w:b w:val="false"/>
          <w:i/>
          <w:color w:val="000000"/>
          <w:sz w:val="24"/>
        </w:rPr>
        <w:t xml:space="preserve">Mandatory additional 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Mandatory reporter core training curriculum for child and dependent adult abuse consistent with the time frames set forth in Iowa Code section </w:t>
      </w:r>
      <w:hyperlink r:id="rId6">
        <w:r>
          <w:rPr>
            <w:rStyle w:val="Hyperlink"/>
            <w:rFonts w:ascii="Times New Roman" w:hAnsi="Times New Roman"/>
            <w:b w:val="false"/>
            <w:i w:val="false"/>
            <w:color w:val="000000"/>
            <w:sz w:val="24"/>
          </w:rPr>
          <w:t>232.69(3)</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Cardiopulmonary resuscitation (CPR), automated external defibrillator (AED) and foreign body airway obstruction for all age groups consistent with nationally recognized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Four hours of emergency vehicle operations, including three practical hours, every three years with an officer having a driving instructor endorsement consistent with Iowa Code section </w:t>
      </w:r>
      <w:hyperlink r:id="rId7">
        <w:r>
          <w:rPr>
            <w:rStyle w:val="Hyperlink"/>
            <w:rFonts w:ascii="Times New Roman" w:hAnsi="Times New Roman"/>
            <w:b w:val="false"/>
            <w:i w:val="false"/>
            <w:color w:val="000000"/>
            <w:sz w:val="24"/>
          </w:rPr>
          <w:t>321.231B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for officers with a break in service. </w:t>
      </w:r>
      <w:r>
        <w:rPr>
          <w:rFonts w:ascii="Times New Roman" w:hAnsi="Times New Roman"/>
          <w:b w:val="false"/>
          <w:i w:val="false"/>
          <w:color w:val="000000"/>
          <w:sz w:val="24"/>
        </w:rPr>
        <w:t>A certified officer with a break in service from Iowa law enforcement will complete the following professional development within one year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break in service is more than one year, all professional development outlined in subrules </w:t>
      </w:r>
      <w:hyperlink r:id="rId8">
        <w:r>
          <w:rPr>
            <w:rStyle w:val="Hyperlink"/>
            <w:rFonts w:ascii="Times New Roman" w:hAnsi="Times New Roman"/>
            <w:b w:val="false"/>
            <w:i w:val="false"/>
            <w:color w:val="000000"/>
            <w:sz w:val="24"/>
          </w:rPr>
          <w:t>4.1(1)</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4.1(2)</w:t>
        </w:r>
      </w:hyperlink>
      <w:r>
        <w:rPr>
          <w:rFonts w:ascii="Times New Roman" w:hAnsi="Times New Roman"/>
          <w:b w:val="false"/>
          <w:i w:val="false"/>
          <w:color w:val="000000"/>
          <w:sz w:val="24"/>
        </w:rPr>
        <w:t xml:space="preserve"> and any additional professional development needed from subrule </w:t>
      </w:r>
      <w:hyperlink r:id="rId10">
        <w:r>
          <w:rPr>
            <w:rStyle w:val="Hyperlink"/>
            <w:rFonts w:ascii="Times New Roman" w:hAnsi="Times New Roman"/>
            <w:b w:val="false"/>
            <w:i w:val="false"/>
            <w:color w:val="000000"/>
            <w:sz w:val="24"/>
          </w:rPr>
          <w:t>4.1(3)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break in service is from one to three years, the professional development in paragraph </w:t>
      </w:r>
      <w:hyperlink r:id="rId11">
        <w:r>
          <w:rPr>
            <w:rStyle w:val="Hyperlink"/>
            <w:rFonts w:ascii="Times New Roman" w:hAnsi="Times New Roman"/>
            <w:b w:val="false"/>
            <w:i w:val="false"/>
            <w:color w:val="000000"/>
            <w:sz w:val="24"/>
          </w:rPr>
          <w:t>4.1(4)</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a minimum of 30 additional general professional development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break in service is more than three years, the professional development in paragraph</w:t>
      </w:r>
      <w:hyperlink r:id="rId12">
        <w:r>
          <w:rPr>
            <w:rStyle w:val="Hyperlink"/>
            <w:rFonts w:ascii="Times New Roman" w:hAnsi="Times New Roman"/>
            <w:b w:val="false"/>
            <w:i w:val="false"/>
            <w:color w:val="000000"/>
            <w:sz w:val="24"/>
          </w:rPr>
          <w:t> 4.1(4)</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a minimum of 60 additional general professional development hours, 40 hours of which will be the skills week from </w:t>
      </w:r>
      <w:hyperlink r:id="rId13">
        <w:r>
          <w:rPr>
            <w:rStyle w:val="Hyperlink"/>
            <w:rFonts w:ascii="Times New Roman" w:hAnsi="Times New Roman"/>
            <w:b w:val="false"/>
            <w:i w:val="false"/>
            <w:color w:val="000000"/>
            <w:sz w:val="24"/>
          </w:rPr>
          <w:t>501—paragraph 2.4(4)</w:t>
        </w:r>
        <w:r>
          <w:rPr>
            <w:rFonts w:ascii="Times New Roman" w:hAnsi="Times New Roman"/>
            <w:b w:val="false"/>
            <w:i/>
            <w:color w:val="000000"/>
            <w:sz w:val="24"/>
          </w:rPr>
          <w:t>“b.”</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General professional development completed for a break in service will be related to the duties the officer is performing.</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“b,”</w:t>
      </w:r>
      <w:r>
        <w:rPr>
          <w:rFonts w:ascii="Times New Roman" w:hAnsi="Times New Roman"/>
          <w:b w:val="false"/>
          <w:i w:val="false"/>
          <w:color w:val="000000"/>
          <w:sz w:val="24"/>
        </w:rPr>
        <w:t xml:space="preserve"> </w:t>
      </w:r>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80B.11G</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80D.3</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501—4.2</w:t>
      </w:r>
      <w:r>
        <w:rPr>
          <w:rFonts w:ascii="Times New Roman" w:hAnsi="Times New Roman"/>
          <w:b/>
          <w:i w:val="false"/>
          <w:color w:val="000000"/>
          <w:sz w:val="24"/>
        </w:rPr>
        <w:t xml:space="preserve">(80F) </w:t>
      </w:r>
      <w:r>
        <w:rPr>
          <w:rFonts w:ascii="Times New Roman" w:hAnsi="Times New Roman"/>
          <w:b/>
          <w:i w:val="false"/>
          <w:color w:val="000000"/>
          <w:sz w:val="24"/>
        </w:rPr>
        <w:t xml:space="preserve">Professional development on interviewing/investigating an officer subject to a complaint. </w:t>
      </w:r>
      <w:r>
        <w:rPr>
          <w:rFonts w:ascii="Times New Roman" w:hAnsi="Times New Roman"/>
          <w:b w:val="false"/>
          <w:i w:val="false"/>
          <w:color w:val="000000"/>
          <w:sz w:val="24"/>
        </w:rPr>
        <w:t>An individual who performs or supervises an investigation of an officer who is the subject of a complaint will receive a minimum of two hours of professional development on each of the following areas: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The fundamentals of interviewing; and </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Peace officer, public safety, and emergency personnel bill of rights; Garrity warning; and peace officer disciplinary hearing with applicable agency policy, conducted by a licensed attorney familiar with Iowa law.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8">
        <w:r>
          <w:rPr>
            <w:rStyle w:val="Hyperlink"/>
            <w:rFonts w:ascii="Times New Roman" w:hAnsi="Times New Roman"/>
            <w:b w:val="false"/>
            <w:i w:val="false"/>
            <w:color w:val="000000"/>
            <w:sz w:val="24"/>
          </w:rPr>
          <w:t>80F.1(21)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501—4.3</w:t>
      </w:r>
      <w:r>
        <w:rPr>
          <w:rFonts w:ascii="Times New Roman" w:hAnsi="Times New Roman"/>
          <w:b/>
          <w:i w:val="false"/>
          <w:color w:val="000000"/>
          <w:sz w:val="24"/>
        </w:rPr>
        <w:t xml:space="preserve">(80B,80D) </w:t>
      </w:r>
      <w:r>
        <w:rPr>
          <w:rFonts w:ascii="Times New Roman" w:hAnsi="Times New Roman"/>
          <w:b/>
          <w:i w:val="false"/>
          <w:color w:val="000000"/>
          <w:sz w:val="24"/>
        </w:rPr>
        <w:t xml:space="preserve">Instructors.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w:t>
      </w:r>
      <w:r>
        <w:rPr>
          <w:rFonts w:ascii="Times New Roman" w:hAnsi="Times New Roman"/>
          <w:b w:val="false"/>
          <w:i w:val="false"/>
          <w:color w:val="000000"/>
          <w:sz w:val="24"/>
        </w:rPr>
        <w:t> </w:t>
      </w:r>
      <w:r>
        <w:rPr>
          <w:rFonts w:ascii="Times New Roman" w:hAnsi="Times New Roman"/>
          <w:b w:val="false"/>
          <w:i w:val="false"/>
          <w:color w:val="000000"/>
          <w:sz w:val="24"/>
        </w:rPr>
        <w:t>Unless otherwise indicated, professional development may be developed and instructed by any individual deemed qualified by the law enforcement agency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4.3(2)</w:t>
      </w:r>
      <w:r>
        <w:rPr>
          <w:rFonts w:ascii="Times New Roman" w:hAnsi="Times New Roman"/>
          <w:b w:val="false"/>
          <w:i w:val="false"/>
          <w:color w:val="000000"/>
          <w:sz w:val="24"/>
        </w:rPr>
        <w:t> </w:t>
      </w:r>
      <w:r>
        <w:rPr>
          <w:rFonts w:ascii="Times New Roman" w:hAnsi="Times New Roman"/>
          <w:b w:val="false"/>
          <w:i w:val="false"/>
          <w:color w:val="000000"/>
          <w:sz w:val="24"/>
        </w:rPr>
        <w:t>An instructor providing instruction for a law enforcement-related training area, as determined by the law enforcement agency administrator, may receive the credit for the professional development.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9">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“c,”</w:t>
      </w:r>
      <w:r>
        <w:rPr>
          <w:rFonts w:ascii="Times New Roman" w:hAnsi="Times New Roman"/>
          <w:b w:val="false"/>
          <w:i w:val="false"/>
          <w:color w:val="000000"/>
          <w:sz w:val="24"/>
        </w:rPr>
        <w:t xml:space="preserve"> </w:t>
      </w:r>
      <w:r>
        <w:rPr>
          <w:rFonts w:ascii="Times New Roman" w:hAnsi="Times New Roman"/>
          <w:b w:val="false"/>
          <w:i/>
          <w:color w:val="000000"/>
          <w:sz w:val="24"/>
        </w:rPr>
        <w:t>“d,”</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80D.3</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501—4.4</w:t>
      </w:r>
      <w:r>
        <w:rPr>
          <w:rFonts w:ascii="Times New Roman" w:hAnsi="Times New Roman"/>
          <w:b/>
          <w:i w:val="false"/>
          <w:color w:val="000000"/>
          <w:sz w:val="24"/>
        </w:rPr>
        <w:t xml:space="preserve">(80B,80D) </w:t>
      </w:r>
      <w:r>
        <w:rPr>
          <w:rFonts w:ascii="Times New Roman" w:hAnsi="Times New Roman"/>
          <w:b/>
          <w:i w:val="false"/>
          <w:color w:val="000000"/>
          <w:sz w:val="24"/>
        </w:rPr>
        <w:t xml:space="preserve">Recordkeeping. </w:t>
      </w:r>
      <w:r>
        <w:rPr>
          <w:rFonts w:ascii="Times New Roman" w:hAnsi="Times New Roman"/>
          <w:b w:val="false"/>
          <w:i w:val="false"/>
          <w:color w:val="000000"/>
          <w:sz w:val="24"/>
        </w:rPr>
        <w:t>The law enforcement agency administrator will ensure that professional development and qualification records are regularly maintained and that the records are made available for inspection upon request of the council. Professional development records will include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 overview of the training;</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name of the instructor who conducted the training;</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name of the individual who completed the training;</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The length of the training;</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The date and location where the training took place; and</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The scores, if any, achieved by the officer to show proficiency in or understanding of the subject matter.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2">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“b,”</w:t>
      </w:r>
      <w:r>
        <w:rPr>
          <w:rFonts w:ascii="Times New Roman" w:hAnsi="Times New Roman"/>
          <w:b w:val="false"/>
          <w:i w:val="false"/>
          <w:color w:val="000000"/>
          <w:sz w:val="24"/>
        </w:rPr>
        <w:t xml:space="preserve"> </w:t>
      </w:r>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us06web.zoom.us/j/88403237275" Type="http://schemas.openxmlformats.org/officeDocument/2006/relationships/hyperlink" Id="rId4"/>
    <Relationship TargetMode="External" Target="mailto:kristi.traynor@iowa.gov" Type="http://schemas.openxmlformats.org/officeDocument/2006/relationships/hyperlink" Id="rId5"/>
    <Relationship TargetMode="External" Target="https://www.legis.iowa.gov/docs/ico/chapter/232.69.pdf" Type="http://schemas.openxmlformats.org/officeDocument/2006/relationships/hyperlink" Id="rId6"/>
    <Relationship TargetMode="External" Target="https://www.legis.iowa.gov/docs/ico/chapter/321.231B.pdf" Type="http://schemas.openxmlformats.org/officeDocument/2006/relationships/hyperlink" Id="rId7"/>
    <Relationship TargetMode="External" Target="https://www.legis.iowa.gov/docs/iac/rule/501.4.1.pdf" Type="http://schemas.openxmlformats.org/officeDocument/2006/relationships/hyperlink" Id="rId8"/>
    <Relationship TargetMode="External" Target="https://www.legis.iowa.gov/docs/iac/rule/501.4.1.pdf" Type="http://schemas.openxmlformats.org/officeDocument/2006/relationships/hyperlink" Id="rId9"/>
    <Relationship TargetMode="External" Target="https://www.legis.iowa.gov/docs/iac/rule/501.4.1.pdf" Type="http://schemas.openxmlformats.org/officeDocument/2006/relationships/hyperlink" Id="rId10"/>
    <Relationship TargetMode="External" Target="https://www.legis.iowa.gov/docs/iac/rule/501.4.1.pdf" Type="http://schemas.openxmlformats.org/officeDocument/2006/relationships/hyperlink" Id="rId11"/>
    <Relationship TargetMode="External" Target="https://www.legis.iowa.gov/docs/iac/rule/501.4.1.pdf" Type="http://schemas.openxmlformats.org/officeDocument/2006/relationships/hyperlink" Id="rId12"/>
    <Relationship TargetMode="External" Target="https://www.legis.iowa.gov/docs/iac/rule/501.2.4.pdf" Type="http://schemas.openxmlformats.org/officeDocument/2006/relationships/hyperlink" Id="rId13"/>
    <Relationship TargetMode="External" Target="https://www.legis.iowa.gov/docs/ico/chapter/80B.11.pdf" Type="http://schemas.openxmlformats.org/officeDocument/2006/relationships/hyperlink" Id="rId14"/>
    <Relationship TargetMode="External" Target="https://www.legis.iowa.gov/docs/ico/chapter/80B.11G.pdf" Type="http://schemas.openxmlformats.org/officeDocument/2006/relationships/hyperlink" Id="rId15"/>
    <Relationship TargetMode="External" Target="https://www.legis.iowa.gov/docs/ico/chapter/80D.3.pdf" Type="http://schemas.openxmlformats.org/officeDocument/2006/relationships/hyperlink" Id="rId16"/>
    <Relationship TargetMode="External" Target="https://www.legis.iowa.gov/docs/ico/chapter/80D.4A.pdf" Type="http://schemas.openxmlformats.org/officeDocument/2006/relationships/hyperlink" Id="rId17"/>
    <Relationship TargetMode="External" Target="https://www.legis.iowa.gov/docs/ico/chapter/80F.1.pdf" Type="http://schemas.openxmlformats.org/officeDocument/2006/relationships/hyperlink" Id="rId18"/>
    <Relationship TargetMode="External" Target="https://www.legis.iowa.gov/docs/ico/chapter/80B.11.pdf" Type="http://schemas.openxmlformats.org/officeDocument/2006/relationships/hyperlink" Id="rId19"/>
    <Relationship TargetMode="External" Target="https://www.legis.iowa.gov/docs/ico/chapter/80D.3.pdf" Type="http://schemas.openxmlformats.org/officeDocument/2006/relationships/hyperlink" Id="rId20"/>
    <Relationship TargetMode="External" Target="https://www.legis.iowa.gov/docs/ico/chapter/80D.4A.pdf" Type="http://schemas.openxmlformats.org/officeDocument/2006/relationships/hyperlink" Id="rId21"/>
    <Relationship TargetMode="External" Target="https://www.legis.iowa.gov/docs/ico/chapter/80B.11.pdf" Type="http://schemas.openxmlformats.org/officeDocument/2006/relationships/hyperlink" Id="rId22"/>
    <Relationship TargetMode="External" Target="https://www.legis.iowa.gov/docs/ico/chapter/80D.4A.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